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15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22.1.3第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课时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　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二次函数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y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a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(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x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－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h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)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+k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的图象和性质（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B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如图，平面直角坐标系中，两条抛物线有相同的对称轴，则下列关系不正确的是(  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center"/>
        <w:textAlignment w:val="center"/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1654175" cy="1146810"/>
            <wp:effectExtent l="0" t="0" r="3175" b="15240"/>
            <wp:docPr id="14" name="图片 8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4175" cy="114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＞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＞0，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＞0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二次函数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＋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＋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≠0)，无论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为何实数，其图象的顶点都在(  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 直线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上        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 直线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＝－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上     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轴上             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轴上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contextualSpacing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已知点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(4，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)，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(2，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)，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(－2，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)都在二次函数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＝(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－2)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－1的图象上，则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的大小关系是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　　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contextualSpacing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如图是二次函数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＋1)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＋2图象的一部分，根据图象解答下列问题：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center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1287780" cy="1304925"/>
            <wp:effectExtent l="0" t="0" r="7620" b="9525"/>
            <wp:docPr id="16" name="图片 88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8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8778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(1)确定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的值；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(2)抛物线与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轴的一个交点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的坐标为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　　　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，则抛物线与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轴的另一个交点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的坐标为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>　　　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(3)设抛物线的顶点为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，试求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△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PAB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的面积.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contextualSpacing/>
        <w:jc w:val="center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99" w:leftChars="228" w:hanging="120" w:hangingChars="50"/>
        <w:contextualSpacing/>
        <w:textAlignment w:val="center"/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B  解析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由图看出两抛物线的对称轴相同，故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，抛物线的顶点纵坐标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在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上方，故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＞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h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＞0，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＞0，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故选项B不正确，符合题意.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B  解析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Cs/>
          <w:sz w:val="24"/>
          <w:szCs w:val="24"/>
        </w:rPr>
        <w:t>由二次函数解析式可求得其顶点坐标，可得出答案．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＞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＞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 xml:space="preserve">2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解析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把已知点的坐标代入函数解析式可分别求得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的值，再比较大小即可．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7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解：(1)根据图象可知，当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＝－3时，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＝0，即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(－3＋1)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＋2＝0，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∴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＝－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046" o:spt="75" alt="学科网(www.zxxk.com)--教育资源门户，提供试题试卷、教案、课件、教学论文、素材等各类教学资源库下载，还有大量丰富的教学资讯！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46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(2)(－3，0)，(1，0)；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(3)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＝1－(－3)＝4，点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的坐标为(－1，2)，故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△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PAB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的边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上的高为2，因此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S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</w:rPr>
        <w:t>△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  <w:vertAlign w:val="subscript"/>
        </w:rPr>
        <w:t>PAB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object>
          <v:shape id="_x0000_i1049" o:spt="75" alt="学科网(www.zxxk.com)--教育资源门户，提供试题试卷、教案、课件、教学论文、素材等各类教学资源库下载，还有大量丰富的教学资讯！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49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×4×2＝4.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17" w:right="1077" w:bottom="1417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599D41"/>
    <w:multiLevelType w:val="singleLevel"/>
    <w:tmpl w:val="EA599D41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B7EAD"/>
    <w:rsid w:val="6BAB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2021-08-17T15:57:00Z</dcterms:created>
  <dc:creator>lenovo</dc:creator>
  <cp:lastModifiedBy>lenovo</cp:lastModifiedBy>
  <dcterms:modified xsi:type="dcterms:W3CDTF">2021-08-17T16:26:50Z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