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第4课 夏商周的更替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一、基础题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A B A C D    6-10 D B D B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1-5 B B B B D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三、拓展题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（1）</w:t>
      </w:r>
    </w:p>
    <w:tbl>
      <w:tblPr>
        <w:tblStyle w:val="3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784"/>
        <w:gridCol w:w="870"/>
        <w:gridCol w:w="660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朝代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起止时间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开国君主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都城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亡国君主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约公元前2070-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约前1600年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禹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阳城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桀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约公元前1600-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前1046年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汤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毫、殷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纣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西周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公元前1046-</w:t>
            </w:r>
            <w:r>
              <w:rPr>
                <w:rFonts w:hint="eastAsia"/>
                <w:color w:val="000000"/>
                <w:lang w:eastAsia="zh-CN"/>
              </w:rPr>
              <w:t>－</w:t>
            </w:r>
            <w:r>
              <w:rPr>
                <w:color w:val="000000"/>
              </w:rPr>
              <w:t>前771年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周武王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镐京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周幽王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（2）丹朱不贤德，禅让制。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（3）世袭制。夏朝。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（4）西周的分封制。为了稳定周初的政治形势，巩固疆土，扩大统治范围。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default" w:ascii="宋体" w:hAnsi="宋体" w:eastAsia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1"/>
          <w:szCs w:val="21"/>
          <w:lang w:val="en-US" w:eastAsia="zh-CN"/>
        </w:rPr>
        <w:t>（5）末代君主残暴昏庸。君主应多施仁政，勤政爱民。</w:t>
      </w: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53376"/>
    <w:rsid w:val="16564B37"/>
    <w:rsid w:val="39BF6BA1"/>
    <w:rsid w:val="3F453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2021-08-20T01:02:00Z</dcterms:created>
  <dc:creator>随惜伴</dc:creator>
  <cp:lastModifiedBy>刘一</cp:lastModifiedBy>
  <dcterms:modified xsi:type="dcterms:W3CDTF">2021-10-25T00:08:50Z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056EA1485FE04720B9E36541B3FF65AA</vt:lpwstr>
  </property>
</Properties>
</file>