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1"/>
        </w:rPr>
        <w:t>第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/>
          <w:sz w:val="28"/>
          <w:szCs w:val="21"/>
        </w:rPr>
        <w:t xml:space="preserve">课 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统一多民族国家的巩固和发展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基础题</w:t>
      </w:r>
    </w:p>
    <w:p>
      <w:pPr>
        <w:widowControl w:val="0"/>
        <w:spacing w:line="240" w:lineRule="auto"/>
        <w:ind w:left="420" w:leftChars="50" w:hanging="315" w:hangingChars="1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1．下图是某位同学绘制的疆域示意图，他所研究的是（　　）</w:t>
      </w:r>
    </w:p>
    <w:p>
      <w:pPr>
        <w:widowControl w:val="0"/>
        <w:spacing w:line="240" w:lineRule="auto"/>
        <w:ind w:left="420"/>
        <w:jc w:val="center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1694815</wp:posOffset>
            </wp:positionH>
            <wp:positionV relativeFrom="paragraph">
              <wp:posOffset>45720</wp:posOffset>
            </wp:positionV>
            <wp:extent cx="2524760" cy="1716405"/>
            <wp:effectExtent l="0" t="0" r="8890" b="17145"/>
            <wp:wrapSquare wrapText="bothSides"/>
            <wp:docPr id="2" name="/Upload/image/20220203/20220203181227_07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/Upload/image/20220203/20220203181227_0729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4760" cy="1716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autoSpaceDN w:val="0"/>
        <w:spacing w:line="240" w:lineRule="auto"/>
        <w:ind w:left="420"/>
        <w:jc w:val="both"/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left="420"/>
        <w:jc w:val="both"/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left="420"/>
        <w:jc w:val="both"/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left="420"/>
        <w:jc w:val="both"/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left="420"/>
        <w:jc w:val="both"/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left="420"/>
        <w:jc w:val="both"/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left="420"/>
        <w:jc w:val="both"/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jc w:val="both"/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隋朝疆域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唐朝疆域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元朝疆域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清朝疆域</w:t>
      </w:r>
    </w:p>
    <w:p>
      <w:pPr>
        <w:widowControl w:val="0"/>
        <w:spacing w:line="240" w:lineRule="auto"/>
        <w:ind w:left="420" w:hanging="420" w:hangingChars="20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2．清朝是我国统一多民族国家进步巩固和发展的关键时期，在加强对西藏的管辖和巩固西北边疆的举措中，与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乾隆皇帝相关的是（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册封达赖和班禅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平定噶尔丹叛乱</w:t>
      </w: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 xml:space="preserve">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设置驻藏大臣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平定大、小和卓叛乱</w:t>
      </w:r>
    </w:p>
    <w:p>
      <w:pPr>
        <w:widowControl w:val="0"/>
        <w:spacing w:line="240" w:lineRule="auto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．有学者评论：“此职之设，对于巩固西北边防，抵抗沙俄侵略，稳定社会秩序，维护国家统一，曾发挥了重大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作用。”这里的“此职”指（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西域都护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驻藏大臣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伊犁将军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北庭都元帅</w:t>
      </w:r>
    </w:p>
    <w:p>
      <w:pPr>
        <w:widowControl w:val="0"/>
        <w:spacing w:line="240" w:lineRule="auto"/>
        <w:ind w:left="420" w:hanging="420" w:hangingChars="20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>4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．爱尔兰作家德尼赛在《鞑靼人的反叛》一书中所说的：“从有最早的历史记录以来，没有一桩伟大的事业能像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18世纪后半期一个主要鞑靼民族（蒙古族）跨越亚洲草原向东迁逃那样轰动于世，那样令人激动的了。”材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料描述的是（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铁木真西征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平定大小和卓叛乱</w:t>
      </w: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雅克萨之战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土尔扈特部回国</w:t>
      </w:r>
    </w:p>
    <w:p>
      <w:pPr>
        <w:widowControl w:val="0"/>
        <w:spacing w:line="240" w:lineRule="auto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5．17世纪中期的一份文献如此说：“台湾者，中国之土地也，久为贵国所踞，今余既来索，则地当归我。”与文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献中的“来索”“归我”相关的事件是（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郑成功收复台湾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清朝设置台湾府</w:t>
      </w: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戚继光抗倭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岳飞抗金</w:t>
      </w:r>
    </w:p>
    <w:p>
      <w:pPr>
        <w:widowControl w:val="0"/>
        <w:spacing w:line="240" w:lineRule="auto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>6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．下列文物中，能够说明清政府加强对西藏地区管辖的是 （　　）</w:t>
      </w:r>
    </w:p>
    <w:p>
      <w:pPr>
        <w:widowControl w:val="0"/>
        <w:spacing w:line="240" w:lineRule="auto"/>
        <w:ind w:left="420"/>
        <w:jc w:val="center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942340</wp:posOffset>
            </wp:positionH>
            <wp:positionV relativeFrom="paragraph">
              <wp:posOffset>74295</wp:posOffset>
            </wp:positionV>
            <wp:extent cx="4200525" cy="1219200"/>
            <wp:effectExtent l="0" t="0" r="9525" b="0"/>
            <wp:wrapSquare wrapText="bothSides"/>
            <wp:docPr id="3" name="../Upload/image/201905210757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../Upload/image/2019052107570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autoSpaceDN w:val="0"/>
        <w:spacing w:line="240" w:lineRule="auto"/>
        <w:ind w:left="42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left="42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firstLine="420" w:firstLineChars="20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firstLine="420" w:firstLineChars="20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firstLine="420" w:firstLineChars="20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firstLine="420" w:firstLineChars="20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autoSpaceDN w:val="0"/>
        <w:spacing w:line="240" w:lineRule="auto"/>
        <w:ind w:firstLine="420" w:firstLineChars="20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①达赖金印        ②驻藏大臣令牌     ③唐蕃会盟碑      ④金奔巴瓶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①②③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②③④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①②④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①③④</w:t>
      </w:r>
    </w:p>
    <w:p>
      <w:pPr>
        <w:widowControl w:val="0"/>
        <w:spacing w:line="240" w:lineRule="auto"/>
        <w:ind w:left="420" w:leftChars="50" w:hanging="315" w:hangingChars="1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>7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．在努尔哈赤、皇太极统治时期，“中国”“南朝”等词都用于对明朝的称呼。顺治时期，“中国”一词在朝廷政治文书中已指清朝的全部统治区域。1767年，乾隆皇帝明确规定：“夫对远人颂述朝廷，或称天朝，或称中国，乃一定之理。”这反映了这一时期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满清统治区域的日益扩大           </w:t>
      </w:r>
      <w:r>
        <w:rPr>
          <w:rFonts w:hint="eastAsia" w:ascii="Times New Roman" w:hAnsi="Times New Roman" w:eastAsia="宋体" w:cs="Times New Roman"/>
          <w:spacing w:val="30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“中国认同”不断发展深化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中央与地方矛盾有所缓和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民族交流消除了民族差异</w:t>
      </w:r>
    </w:p>
    <w:p>
      <w:pPr>
        <w:widowControl w:val="0"/>
        <w:spacing w:line="240" w:lineRule="auto"/>
        <w:ind w:left="420" w:leftChars="50" w:hanging="315" w:hangingChars="1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>8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．韩老师为学生上网课准备的专题复习资源包中有以下材料，该专题复习的是（　　）</w:t>
      </w:r>
    </w:p>
    <w:tbl>
      <w:tblPr>
        <w:tblStyle w:val="3"/>
        <w:tblW w:w="52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4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Mar>
              <w:left w:w="119" w:type="dxa"/>
              <w:right w:w="119" w:type="dxa"/>
            </w:tcMar>
            <w:vAlign w:val="top"/>
          </w:tcPr>
          <w:p>
            <w:pPr>
              <w:spacing w:after="0" w:line="36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资源</w:t>
            </w:r>
          </w:p>
        </w:tc>
        <w:tc>
          <w:tcPr>
            <w:tcW w:w="4440" w:type="dxa"/>
            <w:tcMar>
              <w:left w:w="119" w:type="dxa"/>
              <w:right w:w="119" w:type="dxa"/>
            </w:tcMar>
            <w:vAlign w:val="top"/>
          </w:tcPr>
          <w:p>
            <w:pPr>
              <w:spacing w:after="0" w:line="36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Mar>
              <w:left w:w="119" w:type="dxa"/>
              <w:right w:w="119" w:type="dxa"/>
            </w:tcMar>
            <w:vAlign w:val="top"/>
          </w:tcPr>
          <w:p>
            <w:pPr>
              <w:spacing w:after="0" w:line="36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地图</w:t>
            </w:r>
          </w:p>
        </w:tc>
        <w:tc>
          <w:tcPr>
            <w:tcW w:w="4440" w:type="dxa"/>
            <w:tcMar>
              <w:left w:w="119" w:type="dxa"/>
              <w:right w:w="119" w:type="dxa"/>
            </w:tcMar>
            <w:vAlign w:val="top"/>
          </w:tcPr>
          <w:p>
            <w:pPr>
              <w:spacing w:after="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清朝疆域图（1820年）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Mar>
              <w:left w:w="119" w:type="dxa"/>
              <w:right w:w="119" w:type="dxa"/>
            </w:tcMar>
            <w:vAlign w:val="top"/>
          </w:tcPr>
          <w:p>
            <w:pPr>
              <w:spacing w:after="0" w:line="36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视频</w:t>
            </w:r>
          </w:p>
        </w:tc>
        <w:tc>
          <w:tcPr>
            <w:tcW w:w="4440" w:type="dxa"/>
            <w:tcMar>
              <w:left w:w="119" w:type="dxa"/>
              <w:right w:w="119" w:type="dxa"/>
            </w:tcMar>
            <w:vAlign w:val="top"/>
          </w:tcPr>
          <w:p>
            <w:pPr>
              <w:spacing w:after="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影视作品《民族英雄郑成功》《东归英雄传》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Mar>
              <w:left w:w="119" w:type="dxa"/>
              <w:right w:w="119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图片</w:t>
            </w:r>
          </w:p>
        </w:tc>
        <w:tc>
          <w:tcPr>
            <w:tcW w:w="4440" w:type="dxa"/>
            <w:tcMar>
              <w:left w:w="119" w:type="dxa"/>
              <w:right w:w="119" w:type="dxa"/>
            </w:tcMar>
            <w:vAlign w:val="top"/>
          </w:tcPr>
          <w:p>
            <w:pPr>
              <w:spacing w:after="0" w:line="360" w:lineRule="auto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顺治会晤五世达赖图、金奔巴瓶、伊犁将军府</w:t>
            </w:r>
          </w:p>
          <w:p>
            <w:pPr>
              <w:spacing w:after="0" w:line="360" w:lineRule="auto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雅克萨自卫反击战使用的神威无敌大将军铜炮</w:t>
            </w:r>
          </w:p>
        </w:tc>
      </w:tr>
    </w:tbl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华夏与戎、狄等族的民族交融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统一多民族国家的建立和巩固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鲜卑与汉、羌等族的民族交融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统一多民族国家的巩固和发展</w:t>
      </w:r>
    </w:p>
    <w:p>
      <w:pPr>
        <w:widowControl w:val="0"/>
        <w:spacing w:line="240" w:lineRule="auto"/>
        <w:ind w:left="420" w:leftChars="50" w:hanging="315" w:hangingChars="1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>9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．清朝时期，西藏用灵童“转世”的办法确定达赖和班禅的继承人。为了避免纷争，清朝建立了金瓶掣签制度。中签的“灵童”，经清政府批准，才能成为新一代的达赖或班禅。这表明金瓶掣签制度（　　）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主要是为了明确驻藏大臣和达赖、班禅的中等地位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规定驻藏大臣和达赖、班禅共同管理西藏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加强了中央政府对达赖、班禅转世的监督和任授权力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划分了达赖、班禅的管理权限和管理区域</w:t>
      </w:r>
    </w:p>
    <w:p>
      <w:pPr>
        <w:widowControl w:val="0"/>
        <w:spacing w:line="240" w:lineRule="auto"/>
        <w:ind w:left="420" w:leftChars="50" w:hanging="315" w:hangingChars="1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lang w:val="en-US" w:eastAsia="zh-CN" w:bidi="ar-SA"/>
        </w:rPr>
        <w:t>10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．以下史实的历史作用的共同点是（　　）</w:t>
      </w:r>
    </w:p>
    <w:tbl>
      <w:tblPr>
        <w:tblStyle w:val="3"/>
        <w:tblW w:w="7790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62"/>
        <w:gridCol w:w="4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Mar>
              <w:left w:w="119" w:type="dxa"/>
              <w:right w:w="119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郑成功收复台湾</w:t>
            </w:r>
          </w:p>
        </w:tc>
        <w:tc>
          <w:tcPr>
            <w:tcMar>
              <w:left w:w="119" w:type="dxa"/>
              <w:right w:w="119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清朝在台湾建制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Mar>
              <w:left w:w="119" w:type="dxa"/>
              <w:right w:w="119" w:type="dxa"/>
            </w:tcMar>
            <w:vAlign w:val="center"/>
          </w:tcPr>
          <w:p>
            <w:pPr>
              <w:spacing w:after="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明末荷兰殖民者侵占台湾。清初在东南沿海抗清的郑成功打败荷兰侵略者，收复台湾</w:t>
            </w:r>
          </w:p>
        </w:tc>
        <w:tc>
          <w:tcPr>
            <w:tcMar>
              <w:left w:w="119" w:type="dxa"/>
              <w:right w:w="119" w:type="dxa"/>
            </w:tcMar>
            <w:vAlign w:val="center"/>
          </w:tcPr>
          <w:p>
            <w:pPr>
              <w:spacing w:after="0" w:line="360" w:lineRule="auto"/>
              <w:rPr>
                <w:rFonts w:ascii="Times New Roman" w:hAnsi="Times New Roman"/>
                <w:szCs w:val="20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0"/>
              </w:rPr>
              <w:t>郑成功后代割据台湾。清政府打败郑氏军队，台湾归入淸朝版图，设置台湾府，隶属福建省</w:t>
            </w:r>
          </w:p>
        </w:tc>
      </w:tr>
    </w:tbl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维护了祖国领土完整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加强了对西北地区的管辖</w:t>
      </w:r>
    </w:p>
    <w:p>
      <w:pPr>
        <w:widowControl w:val="0"/>
        <w:autoSpaceDN w:val="0"/>
        <w:spacing w:line="240" w:lineRule="auto"/>
        <w:ind w:left="420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 xml:space="preserve">推行了闭关锁国政策               </w:t>
      </w:r>
      <w:r>
        <w:rPr>
          <w:rFonts w:hint="eastAsia" w:ascii="Times New Roman" w:hAnsi="Times New Roman" w:eastAsia="宋体" w:cs="Times New Roman"/>
          <w:spacing w:val="25"/>
          <w:kern w:val="2"/>
          <w:sz w:val="21"/>
          <w:lang w:val="en-US" w:eastAsia="zh-CN" w:bidi="ar-SA"/>
        </w:rPr>
        <w:t>D．</w:t>
      </w: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实现了清朝对全国的统治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二、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提高题</w:t>
      </w: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zCs w:val="21"/>
        </w:rPr>
        <w:t>.阅读下列材料，回答问题。</w:t>
      </w:r>
    </w:p>
    <w:p>
      <w:pPr>
        <w:widowControl w:val="0"/>
        <w:spacing w:line="240" w:lineRule="auto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舞蹈承载多元文化，体现对美的追求。</w:t>
      </w:r>
    </w:p>
    <w:p>
      <w:pPr>
        <w:widowControl w:val="0"/>
        <w:spacing w:line="240" w:lineRule="auto"/>
        <w:jc w:val="both"/>
        <w:rPr>
          <w:rFonts w:hint="eastAsia" w:ascii="宋体" w:hAnsi="宋体" w:eastAsia="宋体" w:cs="宋体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材料一</w:t>
      </w:r>
    </w:p>
    <w:p>
      <w:pPr>
        <w:widowControl w:val="0"/>
        <w:spacing w:line="24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lang w:val="en-US" w:eastAsia="zh-CN" w:bidi="ar-SA"/>
        </w:rPr>
        <w:t>以下是中国古代舞蹈相关的文物</w:t>
      </w:r>
    </w:p>
    <w:p>
      <w:pPr>
        <w:spacing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294640</wp:posOffset>
            </wp:positionH>
            <wp:positionV relativeFrom="paragraph">
              <wp:posOffset>36195</wp:posOffset>
            </wp:positionV>
            <wp:extent cx="5133975" cy="2295525"/>
            <wp:effectExtent l="0" t="0" r="9525" b="9525"/>
            <wp:wrapSquare wrapText="bothSides"/>
            <wp:docPr id="8" name="../Upload/image/202107011113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../Upload/image/20210701111313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（1）从材料一中找出能说明以下主题的文物。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中国境内文明的起源：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繁荣与开放的时代：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清朝统一多民族国家的巩固与发展：</w:t>
      </w:r>
    </w:p>
    <w:p>
      <w:pPr>
        <w:widowControl w:val="0"/>
        <w:spacing w:line="240" w:lineRule="auto"/>
        <w:jc w:val="both"/>
        <w:rPr>
          <w:rFonts w:ascii="黑体" w:hAnsi="黑体" w:eastAsia="黑体" w:cs="Times New Roman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材料二</w:t>
      </w:r>
    </w:p>
    <w:p>
      <w:pPr>
        <w:widowControl w:val="0"/>
        <w:spacing w:line="24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lang w:val="en-US" w:eastAsia="zh-CN" w:bidi="ar-SA"/>
        </w:rPr>
        <w:t>北魏流行舞蹈“方舞”，舞者佩戴两件头饰，与汉族传统舞蹈“清商乐”相同； 下装为白裤、乌皮靴，与西域“龟兹乐”“安国乐”相似。“方舞”音乐安徐、闲雅，近于汉族传统，而脚下动作繁杂丰富，具有西域风格。</w:t>
      </w:r>
    </w:p>
    <w:p>
      <w:pPr>
        <w:widowControl w:val="0"/>
        <w:spacing w:line="24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lang w:val="en-US" w:eastAsia="zh-CN" w:bidi="ar-SA"/>
        </w:rPr>
        <w:t>——摘编自袁禾《中国舞蹈通史》</w:t>
      </w:r>
    </w:p>
    <w:p>
      <w:pPr>
        <w:widowControl w:val="0"/>
        <w:spacing w:line="24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（2）依据材料二，概括“方舞”所体现的时代特征。结合所学，举出这一时期体现该特征的其他史实。</w:t>
      </w:r>
    </w:p>
    <w:p>
      <w:pPr>
        <w:widowControl w:val="0"/>
        <w:spacing w:line="240" w:lineRule="auto"/>
        <w:jc w:val="both"/>
        <w:rPr>
          <w:rFonts w:ascii="黑体" w:hAnsi="黑体" w:eastAsia="黑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jc w:val="both"/>
        <w:rPr>
          <w:rFonts w:hint="eastAsia" w:ascii="宋体" w:hAnsi="宋体" w:eastAsia="宋体" w:cs="宋体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jc w:val="both"/>
        <w:rPr>
          <w:rFonts w:hint="eastAsia" w:ascii="宋体" w:hAnsi="宋体" w:eastAsia="宋体" w:cs="宋体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材料三</w:t>
      </w:r>
    </w:p>
    <w:p>
      <w:pPr>
        <w:widowControl w:val="0"/>
        <w:spacing w:line="24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lang w:val="en-US" w:eastAsia="zh-CN" w:bidi="ar-SA"/>
        </w:rPr>
        <w:t>北宋民间舞蹈不仅出现于瓦子、酒楼，在城市街巷、乡村场院也发展起来。由若干表演者组成的舞队数量繁多，表演形式多样，并根据市场需求不断创新。文化夜市开始出现，市民在支付费用后，就可以观看舞蹈等表演。观舞写词也成为宋代文人的风尚，据不完全统计，《全宋词》所录北宋时期描写舞蹈的词约有210首。</w:t>
      </w:r>
    </w:p>
    <w:p>
      <w:pPr>
        <w:widowControl w:val="0"/>
        <w:spacing w:line="24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lang w:val="en-US" w:eastAsia="zh-CN" w:bidi="ar-SA"/>
        </w:rPr>
        <w:t>——摘编自李忻桐《北宋市民艺术研究——以宋人笔记为中心》</w:t>
      </w:r>
    </w:p>
    <w:p>
      <w:pPr>
        <w:widowControl w:val="0"/>
        <w:spacing w:line="24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（3）依据材料三，概括北宋舞蹈艺术发展的特点，并分析其影响。</w:t>
      </w:r>
    </w:p>
    <w:p>
      <w:pPr>
        <w:widowControl w:val="0"/>
        <w:spacing w:line="240" w:lineRule="auto"/>
        <w:jc w:val="both"/>
        <w:rPr>
          <w:rFonts w:ascii="黑体" w:hAnsi="黑体" w:eastAsia="黑体" w:cs="Times New Roman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jc w:val="both"/>
        <w:rPr>
          <w:rFonts w:hint="eastAsia" w:ascii="宋体" w:hAnsi="宋体" w:eastAsia="宋体" w:cs="宋体"/>
          <w:kern w:val="2"/>
          <w:sz w:val="21"/>
          <w:lang w:val="en-US" w:eastAsia="zh-CN" w:bidi="ar-SA"/>
        </w:rPr>
      </w:pPr>
    </w:p>
    <w:p>
      <w:pPr>
        <w:widowControl w:val="0"/>
        <w:spacing w:line="240" w:lineRule="auto"/>
        <w:jc w:val="both"/>
        <w:rPr>
          <w:rFonts w:ascii="黑体" w:hAnsi="黑体" w:eastAsia="黑体" w:cs="Times New Roman"/>
          <w:kern w:val="2"/>
          <w:sz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val="en-US" w:eastAsia="zh-CN" w:bidi="ar-SA"/>
        </w:rPr>
        <w:t>材料四</w:t>
      </w:r>
    </w:p>
    <w:p>
      <w:pPr>
        <w:widowControl w:val="0"/>
        <w:spacing w:line="240" w:lineRule="auto"/>
        <w:ind w:firstLine="420" w:firstLineChars="200"/>
        <w:jc w:val="both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lang w:val="en-US" w:eastAsia="zh-CN" w:bidi="ar-SA"/>
        </w:rPr>
        <w:t>从古罗马流传下来的舞蹈传统在中世纪被禁止。14、15世纪人性、个性的解放使人们可以率性而舞，被教会禁止的双人群蹈开始盛行。舞蹈活动是如此地普及与频繁，以至于教会不得不承认肄蹈的作用，放松对群蹈的限制。</w:t>
      </w:r>
    </w:p>
    <w:p>
      <w:pPr>
        <w:widowControl w:val="0"/>
        <w:spacing w:line="240" w:lineRule="auto"/>
        <w:ind w:left="420" w:leftChars="200"/>
        <w:jc w:val="right"/>
        <w:rPr>
          <w:rFonts w:ascii="Times New Roman" w:hAnsi="Times New Roman" w:eastAsia="楷体_GB2312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1"/>
          <w:lang w:val="en-US" w:eastAsia="zh-CN" w:bidi="ar-SA"/>
        </w:rPr>
        <w:t>——摘编自瓦尔特·索雷尔《西方舞蹈文化史》等</w:t>
      </w:r>
    </w:p>
    <w:p>
      <w:pPr>
        <w:widowControl w:val="0"/>
        <w:spacing w:line="240" w:lineRule="auto"/>
        <w:ind w:left="525" w:hanging="525" w:hangingChars="250"/>
        <w:jc w:val="left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  <w:t>（4）依据材料四，说出14、15世纪前后欧洲舞蹈地位的变化。结合所学，说明变化原因。</w:t>
      </w:r>
    </w:p>
    <w:p>
      <w:pPr>
        <w:widowControl w:val="0"/>
        <w:autoSpaceDN w:val="0"/>
        <w:spacing w:line="240" w:lineRule="auto"/>
        <w:jc w:val="both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16618"/>
    <w:rsid w:val="045B6D85"/>
    <w:rsid w:val="16564B37"/>
    <w:rsid w:val="6D91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2022-02-25T12:03:00Z</dcterms:created>
  <dc:creator>随惜伴</dc:creator>
  <cp:lastModifiedBy>随惜伴</cp:lastModifiedBy>
  <dcterms:modified xsi:type="dcterms:W3CDTF">2022-02-27T01:47:43Z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6D6359B027D44ADC83276EC9D81E5566</vt:lpwstr>
  </property>
</Properties>
</file>