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三亚市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  <w:t>中学生物学科专题研修活动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日程安排</w:t>
      </w:r>
      <w:bookmarkStart w:id="0" w:name="_GoBack"/>
      <w:bookmarkEnd w:id="0"/>
    </w:p>
    <w:tbl>
      <w:tblPr>
        <w:tblStyle w:val="6"/>
        <w:tblW w:w="8421" w:type="dxa"/>
        <w:tblInd w:w="-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4944"/>
        <w:gridCol w:w="1244"/>
        <w:gridCol w:w="99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时间</w:t>
            </w:r>
          </w:p>
        </w:tc>
        <w:tc>
          <w:tcPr>
            <w:tcW w:w="49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活动内容</w:t>
            </w:r>
          </w:p>
        </w:tc>
        <w:tc>
          <w:tcPr>
            <w:tcW w:w="124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活动地点</w:t>
            </w:r>
          </w:p>
        </w:tc>
        <w:tc>
          <w:tcPr>
            <w:tcW w:w="99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主持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1236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5月19日</w:t>
            </w:r>
          </w:p>
        </w:tc>
        <w:tc>
          <w:tcPr>
            <w:tcW w:w="49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下午：14:00-18：00报到，办理入住手续</w:t>
            </w:r>
          </w:p>
        </w:tc>
        <w:tc>
          <w:tcPr>
            <w:tcW w:w="124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2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入住酒店</w:t>
            </w:r>
          </w:p>
        </w:tc>
        <w:tc>
          <w:tcPr>
            <w:tcW w:w="99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韦和平</w:t>
            </w: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陈 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123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5月20日</w:t>
            </w:r>
          </w:p>
        </w:tc>
        <w:tc>
          <w:tcPr>
            <w:tcW w:w="494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上午8:00--12:20高中组：高二年级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课题：细胞器之间的分工合作（复习课）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上午第1节课：8:00-8:45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授课教师：文永中（东方市八所中学）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上午第2节课：8:55-9:40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授课教师：秦续航（中国人民大学附属中学三亚学校）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上午第3节课：10:00-10:45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授课教师：孙锐（昌江县昌江中学）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专题讲座：基于“教、学、评一体化”的生物学高三一轮复习策略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时间：10:50-12:20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主讲专家：张杰</w:t>
            </w:r>
          </w:p>
        </w:tc>
        <w:tc>
          <w:tcPr>
            <w:tcW w:w="124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八所中学</w:t>
            </w:r>
          </w:p>
        </w:tc>
        <w:tc>
          <w:tcPr>
            <w:tcW w:w="99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胡爱民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</w:trPr>
        <w:tc>
          <w:tcPr>
            <w:tcW w:w="1236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494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下午14:40—18;00    高中组：高一年级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课题：《基因突变和基因重组》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下午第1节课：14:40-15:25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授课教师：马越（屯昌县屯昌中学）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下午第2节课：15：35—16：20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授课教师：陈珠（海口市琼山中学）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专题讲座：“双新”背景下的生物学“教、学、评一体化”课堂教学设计策略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时间：16：30—18：00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主讲专家：秦东军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八所中学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石国亮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4" w:hRule="atLeast"/>
        </w:trPr>
        <w:tc>
          <w:tcPr>
            <w:tcW w:w="123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5月20日</w:t>
            </w:r>
          </w:p>
        </w:tc>
        <w:tc>
          <w:tcPr>
            <w:tcW w:w="494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上午8:00--12:20初中组：初二年级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课题：《探究性实验专题》（复习课）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上午第1节课：8:00-8:45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授课教师：郑复柳（东方市八所中学）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上午第2节课：8:55-9:40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授课教师：黎华（儋州市第四中学）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上午第3节课：10:00-10:45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授课教师：符春丁（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西南大学临高实验中学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）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专题讲座：基于“教、学、评一体化”的初二生物学会考复习策略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时间：10:50-12:20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主讲专家：吴海涛</w:t>
            </w:r>
          </w:p>
        </w:tc>
        <w:tc>
          <w:tcPr>
            <w:tcW w:w="124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八所中学</w:t>
            </w:r>
          </w:p>
        </w:tc>
        <w:tc>
          <w:tcPr>
            <w:tcW w:w="99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陈坤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9" w:hRule="atLeast"/>
        </w:trPr>
        <w:tc>
          <w:tcPr>
            <w:tcW w:w="1236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494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下午14:40—18;00 初中组：初一年级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课题：《眼和视觉》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下午第1节课：14:40-15:25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授课教师：王志伟（上海外国语大学三亚附属中学）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下午第2节课：15：35—16：20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授课教师：林小萝（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琼海市嘉积第二中学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）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专题讲座： “双减”背景下初中生物学课堂教学设计策略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时间：16：30—18：00 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主讲专家：冯成坚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八所中学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韦和平</w:t>
            </w: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</w:trPr>
        <w:tc>
          <w:tcPr>
            <w:tcW w:w="1236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5月20日</w:t>
            </w:r>
          </w:p>
        </w:tc>
        <w:tc>
          <w:tcPr>
            <w:tcW w:w="494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上午8:00--12:20   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部分专家去琼西中学听课及进行初中、高中备考交流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琼西中学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尹翱翔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5" w:hRule="atLeast"/>
        </w:trPr>
        <w:tc>
          <w:tcPr>
            <w:tcW w:w="123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5月21日</w:t>
            </w:r>
          </w:p>
        </w:tc>
        <w:tc>
          <w:tcPr>
            <w:tcW w:w="494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上午8:00--12:20   专题讲座</w:t>
            </w:r>
          </w:p>
          <w:p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讲座：“双新”背景下的生物学作业设计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时间：8:00-9:00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主讲专家：连允锋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讲座：《高中生物学学科核心素养教学实践研究》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时间：9:05-10:05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主讲专家：黎江娃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讲座：《高中生物5E实验教学模式应用与创新探索》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时间：10:15-11:15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主讲专家：陈坤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讲座：《我的专业化成长之路---课题研究经验分享》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时间：11:20-12:20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主讲专家：许美萍</w:t>
            </w:r>
          </w:p>
        </w:tc>
        <w:tc>
          <w:tcPr>
            <w:tcW w:w="124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八所中学</w:t>
            </w:r>
          </w:p>
        </w:tc>
        <w:tc>
          <w:tcPr>
            <w:tcW w:w="99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韦和平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</w:trPr>
        <w:tc>
          <w:tcPr>
            <w:tcW w:w="1236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4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下午办理退房手续、离会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入住酒店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韦和平陈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坤</w:t>
            </w:r>
          </w:p>
        </w:tc>
      </w:tr>
    </w:tbl>
    <w:p>
      <w:pP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S Reference Specialty">
    <w:altName w:val="Webdings"/>
    <w:panose1 w:val="05000500000000000000"/>
    <w:charset w:val="02"/>
    <w:family w:val="auto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华光书宋_CNKI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DejaVu Sans">
    <w:altName w:val="Traditional Arabic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汉仪中黑KW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Kingsoft Sign">
    <w:altName w:val="Segoe Print"/>
    <w:panose1 w:val="05050102010706020507"/>
    <w:charset w:val="00"/>
    <w:family w:val="auto"/>
    <w:pitch w:val="default"/>
    <w:sig w:usb0="00000000" w:usb1="00000000" w:usb2="00000000" w:usb3="00000000" w:csb0="00000001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FZSSJW--GB1-0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简标宋">
    <w:altName w:val="宋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CTBiaoSongSJ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-apple-system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汉仪细秀体简 L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67cd984db6c11ce79f3f9c1a7771b8b7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阿里巴巴普惠体 B">
    <w:altName w:val="宋体"/>
    <w:panose1 w:val="00020600040101010101"/>
    <w:charset w:val="86"/>
    <w:family w:val="auto"/>
    <w:pitch w:val="default"/>
    <w:sig w:usb0="00000000" w:usb1="00000000" w:usb2="0000001E" w:usb3="00000000" w:csb0="0004009F" w:csb1="00000000"/>
  </w:font>
  <w:font w:name="PingFangSC-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DD553D"/>
    <w:rsid w:val="0691137F"/>
    <w:rsid w:val="14626533"/>
    <w:rsid w:val="1F3A68F1"/>
    <w:rsid w:val="22DD553D"/>
    <w:rsid w:val="26D27682"/>
    <w:rsid w:val="556A62DA"/>
    <w:rsid w:val="6022756C"/>
    <w:rsid w:val="70A73FF7"/>
    <w:rsid w:val="738C42E6"/>
    <w:rsid w:val="79723D8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微软雅黑"/>
      <w:color w:val="000000" w:themeColor="text1"/>
      <w:spacing w:val="5"/>
      <w:kern w:val="0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400" w:lineRule="exact"/>
      <w:jc w:val="center"/>
      <w:outlineLvl w:val="0"/>
    </w:pPr>
    <w:rPr>
      <w:rFonts w:ascii="Times New Roman" w:hAnsi="Times New Roman" w:eastAsia="黑体" w:cstheme="minorBidi"/>
      <w:kern w:val="44"/>
      <w:sz w:val="28"/>
      <w:szCs w:val="22"/>
    </w:rPr>
  </w:style>
  <w:style w:type="paragraph" w:styleId="3">
    <w:name w:val="heading 2"/>
    <w:basedOn w:val="1"/>
    <w:next w:val="1"/>
    <w:link w:val="7"/>
    <w:unhideWhenUsed/>
    <w:qFormat/>
    <w:uiPriority w:val="0"/>
    <w:pPr>
      <w:keepNext/>
      <w:keepLines/>
      <w:spacing w:before="260" w:beforeLines="0" w:beforeAutospacing="0" w:after="260" w:afterLines="0" w:afterAutospacing="0" w:line="400" w:lineRule="exact"/>
      <w:outlineLvl w:val="1"/>
    </w:pPr>
    <w:rPr>
      <w:rFonts w:ascii="Arial" w:hAnsi="Arial" w:eastAsia="黑体"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widowControl/>
      <w:adjustRightInd w:val="0"/>
      <w:snapToGrid w:val="0"/>
      <w:spacing w:before="260" w:after="260" w:line="416" w:lineRule="auto"/>
      <w:jc w:val="left"/>
      <w:outlineLvl w:val="2"/>
    </w:pPr>
    <w:rPr>
      <w:rFonts w:ascii="Tahoma" w:hAnsi="Tahoma" w:eastAsia="黑体"/>
      <w:b/>
      <w:bCs/>
      <w:sz w:val="30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2 Char"/>
    <w:link w:val="3"/>
    <w:qFormat/>
    <w:uiPriority w:val="0"/>
    <w:rPr>
      <w:rFonts w:ascii="Arial" w:hAnsi="Arial" w:eastAsia="黑体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2022-05-16T04:33:00Z</dcterms:created>
  <dc:creator>陈坤</dc:creator>
  <cp:lastModifiedBy>陈坤</cp:lastModifiedBy>
  <dcterms:modified xsi:type="dcterms:W3CDTF">2022-05-16T06:54:29Z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