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44"/>
          <w:szCs w:val="4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44"/>
          <w:szCs w:val="44"/>
          <w:lang w:val="en-US" w:eastAsia="zh-CN" w:bidi="ar-SA"/>
        </w:rPr>
        <w:t>2022年三亚市中小学（幼儿园）“雁领天涯”名师高级研修项目培训方案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为推进三亚市中小学（幼儿园）</w:t>
      </w:r>
      <w:r>
        <w:rPr>
          <w:rFonts w:hint="eastAsia" w:cs="仿宋_GB2312"/>
          <w:kern w:val="0"/>
          <w:sz w:val="32"/>
          <w:szCs w:val="32"/>
          <w:lang w:val="en-US" w:eastAsia="zh-CN" w:bidi="ar-SA"/>
        </w:rPr>
        <w:t>“雁领天涯”名师培养工程，建设一支高素质专业化创新型名师队伍，进一步发挥智库精准名师示范引领，辐射带动作用，推动三亚教育高质量发展，打造海南教育新标杆。根据三亚市中小学（幼儿园）“雁领天涯”名师培养工程实施方案的要求，遵循名师成长规律，结合教师发展需求，特设计此方案，旨在通过分层“进阶式”培养策略，打通名师成长通道，引领名师登上“思想高地”，迈向“行动智库”。</w:t>
      </w:r>
      <w:bookmarkStart w:id="1" w:name="_GoBack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cs="仿宋_GB2312"/>
          <w:b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、</w:t>
      </w:r>
      <w:r>
        <w:rPr>
          <w:rFonts w:hint="eastAsia" w:cs="仿宋_GB2312"/>
          <w:b/>
          <w:sz w:val="32"/>
          <w:szCs w:val="32"/>
          <w:lang w:val="en-US" w:eastAsia="zh-CN"/>
        </w:rPr>
        <w:t>研修主题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深耕教育理论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  <w:t>，凝练实践智慧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/>
          <w:bCs/>
          <w:kern w:val="0"/>
          <w:sz w:val="32"/>
          <w:szCs w:val="32"/>
          <w:lang w:val="en-US" w:eastAsia="zh-CN" w:bidi="ar-SA"/>
        </w:rPr>
        <w:t>二、研修目标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  <w:t>本次研修以实施培养新时代人才战略——“雁领天涯”名师培养工程为目标，以问题导向为核心，以任务驱动为策略，通过专家讲座、专题报告、访学研修、实践观摩、经验分享、研讨交流、主旨论坛等形式，为三亚市名师成长搭建专业支撑平台，为落实“层级制”传帮带责任，实施“六个一”行动，扬团队优势，赋成长动力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  <w:t>（一）更新理念促发展。在“双减”背景下的教学之路，常新的是理念，不变的是初心。把握教育改革发展大势，深刻理解“新基础教育”的内涵，更新教育观念，反思教学实践，构建优化的课堂教学模型，理论先导，实践为重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  <w:t>（二）解决难题有策略。充分发挥名师工作室主持人和雁阵团队的示范引领作用，以师带徒，以点带面，拓展路径，创新名师培养新策略。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  <w:t>（三）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坚持目标导向。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  <w:t>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问题导向和成果导向，按照能力诊断规划、名校跟岗研修、返岗实践提升、研修成果展示、个人反思总结、凝练教学思想等相结合的方式组织实施，并将团队行动学习、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  <w:t>中心组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研修和导师带教贯穿整个过程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  <w:t>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拓展发展渠道，提高反思能力。计划制定符合自身实际的教学能力提升计划，并按照计划立足课堂，紧紧围绕本学科教学策略，深化研究融合应用。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  <w:t>充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分利用外出学习的机会</w:t>
      </w:r>
      <w:r>
        <w:rPr>
          <w:rFonts w:hint="eastAsia" w:ascii="仿宋_GB2312" w:hAnsi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学习并领悟同行及专家们的先进经验，积极与专家们交流，提出自己在教学实践中的困惑问题，努力寻找到突破的路径，从而提高自己的业务水平和教育教学能力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  <w:t>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eastAsia" w:ascii="仿宋_GB2312" w:hAnsi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/>
          <w:bCs/>
          <w:kern w:val="0"/>
          <w:sz w:val="32"/>
          <w:szCs w:val="32"/>
          <w:lang w:val="en-US" w:eastAsia="zh-CN" w:bidi="ar-SA"/>
        </w:rPr>
        <w:t>三、研修对象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  <w:t>“领雁教师”18名，“鸿雁教师”100名。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eastAsia" w:ascii="仿宋_GB2312" w:hAnsi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/>
          <w:bCs/>
          <w:kern w:val="0"/>
          <w:sz w:val="32"/>
          <w:szCs w:val="32"/>
          <w:lang w:val="en-US" w:eastAsia="zh-CN" w:bidi="ar-SA"/>
        </w:rPr>
        <w:t>四、研修方式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研修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围绕项目目标，针对不同的研修内容，综合采用“理论讲座+入校观摩+实践操作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+走进名师名家工作室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研修模式，将专题讲座、策略研讨、经验交流、实地学习等有机结合，努力提高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研修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的针对性和实效性。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cs="仿宋_GB2312"/>
          <w:b w:val="0"/>
          <w:bCs w:val="0"/>
          <w:color w:val="000000"/>
          <w:sz w:val="32"/>
          <w:szCs w:val="32"/>
          <w:lang w:eastAsia="zh-CN"/>
        </w:rPr>
        <w:t>（</w:t>
      </w:r>
      <w:r>
        <w:rPr>
          <w:rFonts w:hint="eastAsia" w:cs="仿宋_GB2312"/>
          <w:b w:val="0"/>
          <w:bCs w:val="0"/>
          <w:color w:val="000000"/>
          <w:sz w:val="32"/>
          <w:szCs w:val="32"/>
          <w:lang w:val="en-US" w:eastAsia="zh-CN"/>
        </w:rPr>
        <w:t>一</w:t>
      </w:r>
      <w:r>
        <w:rPr>
          <w:rFonts w:hint="eastAsia" w:cs="仿宋_GB2312"/>
          <w:b w:val="0"/>
          <w:bCs w:val="0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理论讲座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依据项目的定位，可分为专家报告与</w:t>
      </w:r>
      <w:r>
        <w:rPr>
          <w:rFonts w:hint="eastAsia" w:cs="仿宋_GB2312"/>
          <w:kern w:val="0"/>
          <w:sz w:val="32"/>
          <w:szCs w:val="32"/>
          <w:lang w:val="en-US" w:eastAsia="zh-CN" w:bidi="ar-SA"/>
        </w:rPr>
        <w:t>走访名校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相结合，实行“双导师、双模块”能有效提升研修的品质</w:t>
      </w:r>
      <w:r>
        <w:rPr>
          <w:rFonts w:hint="eastAsia" w:cs="仿宋_GB2312"/>
          <w:kern w:val="0"/>
          <w:sz w:val="32"/>
          <w:szCs w:val="32"/>
          <w:lang w:val="en-US" w:eastAsia="zh-CN" w:bidi="ar-SA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通过专家引领、专题解读、系统建构，深化学员对相关领域的认识。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cs="仿宋_GB2312"/>
          <w:b w:val="0"/>
          <w:bCs w:val="0"/>
          <w:color w:val="000000"/>
          <w:sz w:val="32"/>
          <w:szCs w:val="32"/>
          <w:lang w:eastAsia="zh-CN"/>
        </w:rPr>
        <w:t>（</w:t>
      </w:r>
      <w:r>
        <w:rPr>
          <w:rFonts w:hint="eastAsia" w:cs="仿宋_GB2312"/>
          <w:b w:val="0"/>
          <w:bCs w:val="0"/>
          <w:color w:val="000000"/>
          <w:sz w:val="32"/>
          <w:szCs w:val="32"/>
          <w:lang w:val="en-US" w:eastAsia="zh-CN"/>
        </w:rPr>
        <w:t>二</w:t>
      </w:r>
      <w:r>
        <w:rPr>
          <w:rFonts w:hint="eastAsia" w:cs="仿宋_GB2312"/>
          <w:b w:val="0"/>
          <w:bCs w:val="0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入校观摩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深入名校、实践观摩、深度体验办学</w:t>
      </w:r>
      <w:r>
        <w:rPr>
          <w:rFonts w:hint="eastAsia" w:cs="仿宋_GB2312"/>
          <w:color w:val="000000"/>
          <w:sz w:val="32"/>
          <w:szCs w:val="32"/>
          <w:lang w:val="en-US" w:eastAsia="zh-CN"/>
        </w:rPr>
        <w:t>历程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（观校品校），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针对学员的发展需求和培训中存在的问题，关于课程建设与改革实践经验卓有成效的案例开展对口交流、学习，在情境中体验学习课程建设策略</w:t>
      </w:r>
      <w:r>
        <w:rPr>
          <w:rFonts w:hint="eastAsia" w:cs="仿宋_GB2312"/>
          <w:b w:val="0"/>
          <w:bCs w:val="0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学会提炼经验，探寻符合自己的教学之路。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cs="仿宋_GB2312"/>
          <w:b w:val="0"/>
          <w:bCs w:val="0"/>
          <w:color w:val="000000"/>
          <w:sz w:val="32"/>
          <w:szCs w:val="32"/>
          <w:lang w:eastAsia="zh-CN"/>
        </w:rPr>
        <w:t>（</w:t>
      </w:r>
      <w:r>
        <w:rPr>
          <w:rFonts w:hint="eastAsia" w:cs="仿宋_GB2312"/>
          <w:b w:val="0"/>
          <w:bCs w:val="0"/>
          <w:color w:val="000000"/>
          <w:sz w:val="32"/>
          <w:szCs w:val="32"/>
          <w:lang w:val="en-US" w:eastAsia="zh-CN"/>
        </w:rPr>
        <w:t>三</w:t>
      </w:r>
      <w:r>
        <w:rPr>
          <w:rFonts w:hint="eastAsia" w:cs="仿宋_GB2312"/>
          <w:b w:val="0"/>
          <w:bCs w:val="0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实践操作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组建共同体，围绕核心任务在专家引领下深度参与，从而形成对相关主题的深入理解与自主建构，打磨学校课程建设方案。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cs="仿宋_GB2312"/>
          <w:kern w:val="0"/>
          <w:sz w:val="32"/>
          <w:szCs w:val="32"/>
          <w:lang w:val="en-US" w:eastAsia="zh-CN" w:bidi="ar-SA"/>
        </w:rPr>
        <w:t>1.直面问题，对话交流。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理念与实践有效结合；专家与学员对话交流，互动反馈；把脉诊断，专家为学员拿出解决问题的策略。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典型案例</w:t>
      </w:r>
      <w:r>
        <w:rPr>
          <w:rFonts w:hint="eastAsia" w:cs="仿宋_GB2312"/>
          <w:color w:val="000000"/>
          <w:sz w:val="32"/>
          <w:szCs w:val="32"/>
          <w:lang w:val="en-US" w:eastAsia="zh-CN"/>
        </w:rPr>
        <w:t>，启迪思考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。以访学交流的名校为案例，构建“感知-体验-提炼-回归实践”行动研究思维链条。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_GB2312" w:hAnsi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cs="仿宋_GB2312"/>
          <w:color w:val="000000"/>
          <w:sz w:val="32"/>
          <w:szCs w:val="32"/>
          <w:lang w:val="en-US" w:eastAsia="zh-CN"/>
        </w:rPr>
        <w:t>3.名家示范，引领发展。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外出学习拓视野</w:t>
      </w:r>
      <w:r>
        <w:rPr>
          <w:rFonts w:hint="eastAsia" w:cs="仿宋_GB2312"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借鉴经验促进步</w:t>
      </w:r>
      <w:r>
        <w:rPr>
          <w:rFonts w:hint="eastAsia" w:cs="仿宋_GB2312"/>
          <w:color w:val="000000"/>
          <w:sz w:val="32"/>
          <w:szCs w:val="32"/>
          <w:lang w:val="en-US" w:eastAsia="zh-CN"/>
        </w:rPr>
        <w:t>。走进名师名家工作室，与名师分享交流共同成长。在实践中学习，在反思中提升，在研究中教学，在教学中研究。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cs="仿宋_GB2312"/>
          <w:b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、</w:t>
      </w:r>
      <w:r>
        <w:rPr>
          <w:rFonts w:hint="eastAsia" w:cs="仿宋_GB2312"/>
          <w:b/>
          <w:sz w:val="32"/>
          <w:szCs w:val="32"/>
          <w:lang w:val="en-US" w:eastAsia="zh-CN"/>
        </w:rPr>
        <w:t>研修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时间、地点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cs="仿宋_GB2312"/>
          <w:sz w:val="32"/>
          <w:szCs w:val="32"/>
          <w:lang w:val="en-US" w:eastAsia="zh-CN"/>
        </w:rPr>
        <w:t>第一阶段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cs="仿宋_GB2312"/>
          <w:sz w:val="32"/>
          <w:szCs w:val="32"/>
          <w:lang w:eastAsia="zh-CN"/>
        </w:rPr>
        <w:t>（杭州）</w:t>
      </w:r>
      <w:r>
        <w:rPr>
          <w:rFonts w:hint="eastAsia" w:cs="仿宋_GB2312"/>
          <w:sz w:val="32"/>
          <w:szCs w:val="32"/>
          <w:lang w:val="en-US" w:eastAsia="zh-CN"/>
        </w:rPr>
        <w:t>省外访学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为期</w:t>
      </w:r>
      <w:r>
        <w:rPr>
          <w:rFonts w:hint="eastAsia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天</w:t>
      </w:r>
      <w:r>
        <w:rPr>
          <w:rFonts w:hint="eastAsia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cs="仿宋_GB2312"/>
          <w:sz w:val="32"/>
          <w:szCs w:val="32"/>
          <w:lang w:eastAsia="zh-CN"/>
        </w:rPr>
        <w:t>（二）第二阶段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cs="仿宋_GB2312"/>
          <w:sz w:val="32"/>
          <w:szCs w:val="32"/>
          <w:lang w:eastAsia="zh-CN"/>
        </w:rPr>
        <w:t>（三亚）市内</w:t>
      </w:r>
      <w:r>
        <w:rPr>
          <w:rFonts w:hint="eastAsia" w:cs="仿宋_GB2312"/>
          <w:sz w:val="32"/>
          <w:szCs w:val="32"/>
          <w:lang w:val="en-US" w:eastAsia="zh-CN"/>
        </w:rPr>
        <w:t>研修</w:t>
      </w:r>
      <w:r>
        <w:rPr>
          <w:rFonts w:hint="eastAsia" w:cs="仿宋_GB2312"/>
          <w:sz w:val="32"/>
          <w:szCs w:val="32"/>
          <w:lang w:eastAsia="zh-CN"/>
        </w:rPr>
        <w:t>，为期</w:t>
      </w:r>
      <w:r>
        <w:rPr>
          <w:rFonts w:hint="eastAsia" w:cs="仿宋_GB2312"/>
          <w:sz w:val="32"/>
          <w:szCs w:val="32"/>
          <w:lang w:val="en-US" w:eastAsia="zh-CN"/>
        </w:rPr>
        <w:t>4天。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cs="仿宋_GB2312"/>
          <w:b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、研修内容及</w:t>
      </w:r>
      <w:r>
        <w:rPr>
          <w:rFonts w:hint="eastAsia" w:cs="仿宋_GB2312"/>
          <w:b/>
          <w:sz w:val="32"/>
          <w:szCs w:val="32"/>
          <w:lang w:val="en-US" w:eastAsia="zh-CN"/>
        </w:rPr>
        <w:t>课程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安排</w:t>
      </w:r>
    </w:p>
    <w:tbl>
      <w:tblPr>
        <w:tblStyle w:val="20"/>
        <w:tblW w:w="94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072"/>
        <w:gridCol w:w="3869"/>
        <w:gridCol w:w="3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67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时间</w:t>
            </w:r>
          </w:p>
        </w:tc>
        <w:tc>
          <w:tcPr>
            <w:tcW w:w="386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授课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内容</w:t>
            </w:r>
          </w:p>
        </w:tc>
        <w:tc>
          <w:tcPr>
            <w:tcW w:w="390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授课专家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60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7月18日</w:t>
            </w: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上午</w:t>
            </w:r>
          </w:p>
        </w:tc>
        <w:tc>
          <w:tcPr>
            <w:tcW w:w="777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  <w:t>报到、领取资料，办理入住。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6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下午</w:t>
            </w:r>
          </w:p>
        </w:tc>
        <w:tc>
          <w:tcPr>
            <w:tcW w:w="777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  <w:t>开班仪式。课前学习思维引导、动员，团队纪律建设，疫情防控要求。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7月19日</w:t>
            </w:r>
          </w:p>
        </w:tc>
        <w:tc>
          <w:tcPr>
            <w:tcW w:w="10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上午</w:t>
            </w:r>
          </w:p>
        </w:tc>
        <w:tc>
          <w:tcPr>
            <w:tcW w:w="3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u w:val="single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u w:val="single"/>
              </w:rPr>
              <w:t>专家讲座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color w:val="000000"/>
                <w:kern w:val="0"/>
                <w:sz w:val="28"/>
                <w:szCs w:val="28"/>
              </w:rPr>
              <w:t>《</w:t>
            </w:r>
            <w:r>
              <w:rPr>
                <w:rFonts w:hint="eastAsia" w:ascii="方正楷体_GB2312" w:hAnsi="方正楷体_GB2312" w:eastAsia="方正楷体_GB2312" w:cs="方正楷体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创生学习者中心的学习范式 </w:t>
            </w:r>
            <w:r>
              <w:rPr>
                <w:rFonts w:hint="eastAsia" w:ascii="方正楷体_GB2312" w:hAnsi="方正楷体_GB2312" w:eastAsia="方正楷体_GB2312" w:cs="方正楷体_GB2312"/>
                <w:color w:val="000000"/>
                <w:kern w:val="0"/>
                <w:sz w:val="28"/>
                <w:szCs w:val="28"/>
              </w:rPr>
              <w:t>》</w:t>
            </w:r>
          </w:p>
        </w:tc>
        <w:tc>
          <w:tcPr>
            <w:tcW w:w="3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  <w:t>主讲人：</w:t>
            </w: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28"/>
                <w:szCs w:val="28"/>
              </w:rPr>
              <w:t>王</w:t>
            </w: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28"/>
                <w:szCs w:val="28"/>
              </w:rPr>
              <w:t>莺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杭州市上城区教育</w:t>
            </w:r>
            <w:r>
              <w:rPr>
                <w:rFonts w:hint="default" w:ascii="方正楷体_GB2312" w:hAnsi="方正楷体_GB2312" w:eastAsia="方正楷体_GB2312" w:cs="方正楷体_GB2312"/>
                <w:sz w:val="28"/>
                <w:szCs w:val="28"/>
              </w:rPr>
              <w:t>局副局长兼上城区教育学院院长、省特级教师。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</w:p>
        </w:tc>
        <w:tc>
          <w:tcPr>
            <w:tcW w:w="10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下午</w:t>
            </w:r>
          </w:p>
        </w:tc>
        <w:tc>
          <w:tcPr>
            <w:tcW w:w="38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u w:val="single"/>
                <w:shd w:val="clear" w:color="auto" w:fill="auto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u w:val="single"/>
                <w:shd w:val="clear" w:color="auto" w:fill="auto"/>
                <w:lang w:val="en-US" w:eastAsia="zh-CN"/>
              </w:rPr>
              <w:t>经验分享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color w:val="000000"/>
                <w:kern w:val="0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shd w:val="clear" w:color="auto" w:fill="auto"/>
                <w:lang w:val="en-US" w:eastAsia="zh-CN"/>
              </w:rPr>
              <w:t>1.数学</w:t>
            </w:r>
            <w:r>
              <w:rPr>
                <w:rFonts w:hint="eastAsia" w:ascii="方正楷体_GB2312" w:hAnsi="方正楷体_GB2312" w:eastAsia="方正楷体_GB2312" w:cs="方正楷体_GB2312"/>
                <w:color w:val="000000"/>
                <w:kern w:val="0"/>
                <w:sz w:val="28"/>
                <w:szCs w:val="28"/>
                <w:shd w:val="clear" w:color="auto" w:fill="auto"/>
                <w:lang w:val="en-US" w:eastAsia="zh-CN"/>
              </w:rPr>
              <w:t>名师工作坊案例交流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highlight w:val="yellow"/>
                <w:shd w:val="clear" w:color="auto" w:fill="auto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shd w:val="clear" w:color="auto" w:fill="auto"/>
                <w:lang w:val="en-US" w:eastAsia="zh-CN"/>
              </w:rPr>
              <w:t>2.语文名师工作</w:t>
            </w:r>
            <w:r>
              <w:rPr>
                <w:rFonts w:hint="eastAsia" w:ascii="方正楷体_GB2312" w:hAnsi="方正楷体_GB2312" w:eastAsia="方正楷体_GB2312" w:cs="方正楷体_GB2312"/>
                <w:color w:val="000000"/>
                <w:sz w:val="28"/>
                <w:szCs w:val="28"/>
                <w:shd w:val="clear" w:color="auto" w:fill="auto"/>
                <w:lang w:val="en-US" w:eastAsia="zh-CN"/>
              </w:rPr>
              <w:t>坊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shd w:val="clear" w:color="auto" w:fill="auto"/>
                <w:lang w:val="en-US" w:eastAsia="zh-CN"/>
              </w:rPr>
              <w:t>案例交流</w:t>
            </w:r>
          </w:p>
        </w:tc>
        <w:tc>
          <w:tcPr>
            <w:tcW w:w="3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highlight w:val="yellow"/>
                <w:shd w:val="clear" w:color="auto" w:fill="auto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shd w:val="clear" w:color="auto" w:fill="auto"/>
                <w:lang w:val="en-US" w:eastAsia="zh-CN"/>
              </w:rPr>
              <w:t>主讲人：</w:t>
            </w: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28"/>
                <w:szCs w:val="28"/>
                <w:shd w:val="clear" w:color="auto" w:fill="auto"/>
                <w:lang w:val="en-US" w:eastAsia="zh-CN"/>
              </w:rPr>
              <w:t>邵 虹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shd w:val="clear" w:color="auto" w:fill="auto"/>
                <w:lang w:val="en-US" w:eastAsia="zh-CN"/>
              </w:rPr>
              <w:t>，杭州市上城区教育学院数学教研员；浙江省特级教师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</w:p>
        </w:tc>
        <w:tc>
          <w:tcPr>
            <w:tcW w:w="107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</w:p>
        </w:tc>
        <w:tc>
          <w:tcPr>
            <w:tcW w:w="38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highlight w:val="yellow"/>
                <w:shd w:val="clear" w:color="auto" w:fill="auto"/>
                <w:lang w:val="en-US" w:eastAsia="zh-CN"/>
              </w:rPr>
            </w:pPr>
          </w:p>
        </w:tc>
        <w:tc>
          <w:tcPr>
            <w:tcW w:w="3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shd w:val="clear" w:color="auto" w:fill="auto"/>
                <w:lang w:val="en-US" w:eastAsia="zh-CN"/>
              </w:rPr>
              <w:t>主讲人：</w:t>
            </w: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28"/>
                <w:szCs w:val="28"/>
                <w:shd w:val="clear" w:color="auto" w:fill="auto"/>
                <w:lang w:val="en-US" w:eastAsia="zh-CN"/>
              </w:rPr>
              <w:t>钟 玲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shd w:val="clear" w:color="auto" w:fill="auto"/>
                <w:lang w:val="en-US" w:eastAsia="zh-CN"/>
              </w:rPr>
              <w:t>，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shd w:val="clear" w:color="auto" w:fill="auto"/>
              </w:rPr>
              <w:t>上城区教育学院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shd w:val="clear" w:color="auto" w:fill="auto"/>
                <w:lang w:val="en-US" w:eastAsia="zh-CN"/>
              </w:rPr>
              <w:t>教师发展研究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shd w:val="clear" w:color="auto" w:fill="auto"/>
              </w:rPr>
              <w:t>中心主任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shd w:val="clear" w:color="auto" w:fill="auto"/>
                <w:lang w:eastAsia="zh-CN"/>
              </w:rPr>
              <w:t>；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shd w:val="clear" w:color="auto" w:fill="auto"/>
                <w:lang w:val="en-US" w:eastAsia="zh-CN"/>
              </w:rPr>
              <w:t>浙江省特级教师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7月20日</w:t>
            </w:r>
          </w:p>
        </w:tc>
        <w:tc>
          <w:tcPr>
            <w:tcW w:w="10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上午</w:t>
            </w:r>
          </w:p>
        </w:tc>
        <w:tc>
          <w:tcPr>
            <w:tcW w:w="3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u w:val="single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u w:val="single"/>
              </w:rPr>
              <w:t>入校考察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1.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参观校园：杭州市建兰中学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000000"/>
                <w:sz w:val="28"/>
                <w:szCs w:val="28"/>
              </w:rPr>
              <w:t>2.</w:t>
            </w: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校长报告：</w:t>
            </w: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000000"/>
                <w:sz w:val="28"/>
                <w:szCs w:val="28"/>
                <w:lang w:eastAsia="zh-CN"/>
              </w:rPr>
              <w:t>《学校大脑  数据驱动未来学校新样态》</w:t>
            </w:r>
          </w:p>
        </w:tc>
        <w:tc>
          <w:tcPr>
            <w:tcW w:w="3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主讲人：</w:t>
            </w: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28"/>
                <w:szCs w:val="28"/>
                <w:lang w:val="en-US" w:eastAsia="zh-CN"/>
              </w:rPr>
              <w:t>饶美红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，杭州市建兰中学校，中学</w:t>
            </w:r>
            <w:r>
              <w:rPr>
                <w:rFonts w:hint="default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语文高级教师，杭州市十大杰出青年。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下午</w:t>
            </w:r>
          </w:p>
        </w:tc>
        <w:tc>
          <w:tcPr>
            <w:tcW w:w="3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u w:val="single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u w:val="single"/>
              </w:rPr>
              <w:t>入校考察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1.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参观校园：杭州市钱学森实验学校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color w:val="auto"/>
                <w:sz w:val="28"/>
                <w:szCs w:val="28"/>
              </w:rPr>
              <w:t>2</w:t>
            </w: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auto"/>
                <w:sz w:val="28"/>
                <w:szCs w:val="28"/>
              </w:rPr>
              <w:t>.</w:t>
            </w: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校长报告：</w:t>
            </w: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000000"/>
                <w:sz w:val="28"/>
                <w:szCs w:val="28"/>
                <w:lang w:eastAsia="zh-CN"/>
              </w:rPr>
              <w:t>让科学家的光芒照进学校</w:t>
            </w:r>
          </w:p>
        </w:tc>
        <w:tc>
          <w:tcPr>
            <w:tcW w:w="3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主讲人：</w:t>
            </w: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28"/>
                <w:szCs w:val="28"/>
                <w:lang w:val="en-US" w:eastAsia="zh-CN"/>
              </w:rPr>
              <w:t>唐彩斌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，杭州市钱学森实验学校党总支书记、校长；正高级教师，浙江省特级教师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7月21日</w:t>
            </w:r>
          </w:p>
        </w:tc>
        <w:tc>
          <w:tcPr>
            <w:tcW w:w="10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上午</w:t>
            </w:r>
          </w:p>
        </w:tc>
        <w:tc>
          <w:tcPr>
            <w:tcW w:w="3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u w:val="single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u w:val="single"/>
              </w:rPr>
              <w:t>入校考察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1.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参观校园：杭州市杭州中学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2.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校长报告：《让研究成为教育人的精神气象——学校教师整体水平提升的思考和实践》</w:t>
            </w:r>
          </w:p>
        </w:tc>
        <w:tc>
          <w:tcPr>
            <w:tcW w:w="3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  <w:t>主讲人：</w:t>
            </w: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28"/>
                <w:szCs w:val="28"/>
              </w:rPr>
              <w:t>杨昕珠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杭州市杭州中学党总支书记、校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  <w:t>长，优秀教育工作者 ，杭州市三八红旗手，浙江省名师名校长培养人选。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下午</w:t>
            </w:r>
          </w:p>
        </w:tc>
        <w:tc>
          <w:tcPr>
            <w:tcW w:w="3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u w:val="single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u w:val="single"/>
              </w:rPr>
              <w:t>入校考察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1.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参观校园：杭州新世纪外国语学校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2.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校长报告：《做有新世纪特色的美好教育》</w:t>
            </w:r>
          </w:p>
        </w:tc>
        <w:tc>
          <w:tcPr>
            <w:tcW w:w="3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zh-CN"/>
              </w:rPr>
              <w:t>主讲人：</w:t>
            </w: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28"/>
                <w:szCs w:val="28"/>
                <w:lang w:val="zh-CN"/>
              </w:rPr>
              <w:t>虞大明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zh-CN"/>
              </w:rPr>
              <w:t>，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杭州市新世纪外国语学校校长；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zh-CN"/>
              </w:rPr>
              <w:t>正高级教师，浙江省特级教师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7月22日</w:t>
            </w:r>
          </w:p>
        </w:tc>
        <w:tc>
          <w:tcPr>
            <w:tcW w:w="10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上午</w:t>
            </w:r>
          </w:p>
        </w:tc>
        <w:tc>
          <w:tcPr>
            <w:tcW w:w="3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u w:val="single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u w:val="single"/>
              </w:rPr>
              <w:t>入校考察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1.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参观校园：杭州市胜利小学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2.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校长报告：《“胜利魔方”——场景为核心、数据为引导的学校治理新平台》</w:t>
            </w:r>
          </w:p>
        </w:tc>
        <w:tc>
          <w:tcPr>
            <w:tcW w:w="3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主讲人：郭荣强：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zh-CN"/>
              </w:rPr>
              <w:t>杭州市胜利小学党总支书记、校长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下午</w:t>
            </w:r>
          </w:p>
        </w:tc>
        <w:tc>
          <w:tcPr>
            <w:tcW w:w="3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u w:val="single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u w:val="single"/>
              </w:rPr>
              <w:t>入校考察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1.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参观校园：杭州市崇文实验学校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</w:rPr>
              <w:t>2.</w:t>
            </w: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校长报告：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  <w:t>《“新班级教育”改变教与学的方式》</w:t>
            </w:r>
          </w:p>
        </w:tc>
        <w:tc>
          <w:tcPr>
            <w:tcW w:w="3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主讲人：</w:t>
            </w: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28"/>
                <w:szCs w:val="28"/>
                <w:lang w:val="en-US" w:eastAsia="zh-CN"/>
              </w:rPr>
              <w:t>俞国娣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，杭州市崇文实验学校党总支书记、校长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  <w:t>；正高级教师，浙江省特级教师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7月23日</w:t>
            </w:r>
          </w:p>
        </w:tc>
        <w:tc>
          <w:tcPr>
            <w:tcW w:w="10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  <w:t>上午</w:t>
            </w:r>
          </w:p>
        </w:tc>
        <w:tc>
          <w:tcPr>
            <w:tcW w:w="3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1.学员展示评优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  <w:t>作业点评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  <w:t>结业点评</w:t>
            </w:r>
          </w:p>
        </w:tc>
        <w:tc>
          <w:tcPr>
            <w:tcW w:w="3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  <w:t>返岗实践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</w:p>
        </w:tc>
        <w:tc>
          <w:tcPr>
            <w:tcW w:w="10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  <w:t>下午</w:t>
            </w:r>
          </w:p>
        </w:tc>
        <w:tc>
          <w:tcPr>
            <w:tcW w:w="3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eastAsia="zh-CN"/>
              </w:rPr>
              <w:t>返程</w:t>
            </w:r>
          </w:p>
        </w:tc>
        <w:tc>
          <w:tcPr>
            <w:tcW w:w="3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8"/>
                <w:lang w:val="en-US" w:eastAsia="zh-CN"/>
              </w:rPr>
            </w:pPr>
          </w:p>
        </w:tc>
      </w:tr>
    </w:tbl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cs="仿宋_GB2312"/>
          <w:b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、考核考评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坚持考核主题多元化，考核方式多样化，注重过程性评价与终结性评价相结合。</w:t>
      </w:r>
    </w:p>
    <w:tbl>
      <w:tblPr>
        <w:tblStyle w:val="10"/>
        <w:tblpPr w:leftFromText="180" w:rightFromText="180" w:vertAnchor="text" w:horzAnchor="page" w:tblpX="1859" w:tblpY="114"/>
        <w:tblOverlap w:val="never"/>
        <w:tblW w:w="87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3"/>
        <w:gridCol w:w="5195"/>
        <w:gridCol w:w="1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  <w:t>考核内容</w:t>
            </w:r>
          </w:p>
        </w:tc>
        <w:tc>
          <w:tcPr>
            <w:tcW w:w="5195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  <w:t>具体要求</w:t>
            </w: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 w:bidi="ar-SA"/>
              </w:rPr>
              <w:t>赋分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  <w:t>考勤</w:t>
            </w:r>
          </w:p>
        </w:tc>
        <w:tc>
          <w:tcPr>
            <w:tcW w:w="51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  <w:t>每天扫码报到，记录出勤情况，日总结日通报</w:t>
            </w: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 w:bidi="ar-SA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  <w:t>自主研修</w:t>
            </w:r>
          </w:p>
        </w:tc>
        <w:tc>
          <w:tcPr>
            <w:tcW w:w="51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  <w:t>按时完成研修任务，每日撰写一篇400余字的反思感悟（反思感悟、总结反馈）</w:t>
            </w: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 w:bidi="ar-SA"/>
              </w:rPr>
              <w:t>40分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3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  <w:t>研讨交流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  <w:t>(参与度)</w:t>
            </w:r>
          </w:p>
        </w:tc>
        <w:tc>
          <w:tcPr>
            <w:tcW w:w="51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  <w:t>联组发言（大会发言）</w:t>
            </w: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 w:bidi="ar-SA"/>
              </w:rPr>
              <w:t>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3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51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  <w:t>分组讨论（小组发言）</w:t>
            </w: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 w:bidi="ar-SA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  <w:t>优秀学员</w:t>
            </w:r>
          </w:p>
        </w:tc>
        <w:tc>
          <w:tcPr>
            <w:tcW w:w="519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  <w:t>行担当之责，服务团队管理</w:t>
            </w: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 w:bidi="ar-SA"/>
              </w:rPr>
              <w:t>10分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按上述考核要求，完成研修任务的给予学分认定。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firstLine="0" w:firstLineChars="0"/>
        <w:textAlignment w:val="auto"/>
        <w:rPr>
          <w:rFonts w:hint="default"/>
          <w:lang w:val="en-US" w:eastAsia="zh-CN"/>
        </w:rPr>
      </w:pPr>
      <w:bookmarkStart w:id="0" w:name="_bookmark3"/>
      <w:bookmarkEnd w:id="0"/>
    </w:p>
    <w:sectPr>
      <w:footerReference r:id="rId3" w:type="default"/>
      <w:pgSz w:w="11906" w:h="16838"/>
      <w:pgMar w:top="1429" w:right="1803" w:bottom="1020" w:left="1803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11B3CEA0-54AA-449A-B1DE-7EEF10BC3E01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2" w:fontKey="{99F67A32-FA02-432D-ADF9-7D2452B6F42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062A8C56-4B9F-4D98-9789-A86120A44C5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2135857241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5"/>
                                <w:jc w:val="center"/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sz w:val="28"/>
                                  <w:szCs w:val="28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sz w:val="28"/>
                        <w:szCs w:val="28"/>
                      </w:rPr>
                      <w:id w:val="-2135857241"/>
                      <w:docPartObj>
                        <w:docPartGallery w:val="autotext"/>
                      </w:docPartObj>
                    </w:sdtPr>
                    <w:sdtEndPr>
                      <w:rPr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5"/>
                          <w:jc w:val="center"/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  <w:lang w:val="zh-CN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zYzAyMmVjZjhhY2YyY2QzZWEwMzRjYThiMTE5NjcifQ=="/>
  </w:docVars>
  <w:rsids>
    <w:rsidRoot w:val="00E46D5D"/>
    <w:rsid w:val="000C6897"/>
    <w:rsid w:val="00154058"/>
    <w:rsid w:val="00332AE0"/>
    <w:rsid w:val="003744A6"/>
    <w:rsid w:val="003A0763"/>
    <w:rsid w:val="003B35DB"/>
    <w:rsid w:val="003E57B9"/>
    <w:rsid w:val="004522D6"/>
    <w:rsid w:val="0049517D"/>
    <w:rsid w:val="004F0C6B"/>
    <w:rsid w:val="005073DD"/>
    <w:rsid w:val="00780001"/>
    <w:rsid w:val="00977EA3"/>
    <w:rsid w:val="009857D9"/>
    <w:rsid w:val="00A379F0"/>
    <w:rsid w:val="00A73693"/>
    <w:rsid w:val="00A93449"/>
    <w:rsid w:val="00AB37A7"/>
    <w:rsid w:val="00B820FD"/>
    <w:rsid w:val="00B92309"/>
    <w:rsid w:val="00CB7E48"/>
    <w:rsid w:val="00D15263"/>
    <w:rsid w:val="00DB262E"/>
    <w:rsid w:val="00E46D5D"/>
    <w:rsid w:val="00F74C8B"/>
    <w:rsid w:val="00FA0CFB"/>
    <w:rsid w:val="0297340F"/>
    <w:rsid w:val="02D62EBF"/>
    <w:rsid w:val="09CD7632"/>
    <w:rsid w:val="0A5D7538"/>
    <w:rsid w:val="0D531F02"/>
    <w:rsid w:val="14E40A99"/>
    <w:rsid w:val="1BF0709D"/>
    <w:rsid w:val="1C067DDD"/>
    <w:rsid w:val="1C5D469C"/>
    <w:rsid w:val="1CBE77F7"/>
    <w:rsid w:val="1FD97882"/>
    <w:rsid w:val="20DF6255"/>
    <w:rsid w:val="26244A40"/>
    <w:rsid w:val="26865293"/>
    <w:rsid w:val="26DB470B"/>
    <w:rsid w:val="2773101C"/>
    <w:rsid w:val="2B8533F3"/>
    <w:rsid w:val="2FE8735B"/>
    <w:rsid w:val="30021819"/>
    <w:rsid w:val="311C3504"/>
    <w:rsid w:val="31E02CA9"/>
    <w:rsid w:val="32975D5A"/>
    <w:rsid w:val="33EC7549"/>
    <w:rsid w:val="365352D3"/>
    <w:rsid w:val="36865706"/>
    <w:rsid w:val="3ACB3028"/>
    <w:rsid w:val="3AED0919"/>
    <w:rsid w:val="3C0A07D4"/>
    <w:rsid w:val="41AC5681"/>
    <w:rsid w:val="43356FAF"/>
    <w:rsid w:val="43986024"/>
    <w:rsid w:val="43B25C42"/>
    <w:rsid w:val="46BB52A4"/>
    <w:rsid w:val="46E02E24"/>
    <w:rsid w:val="476D2AA1"/>
    <w:rsid w:val="49257FA7"/>
    <w:rsid w:val="4BD32E59"/>
    <w:rsid w:val="4E547044"/>
    <w:rsid w:val="523C46F4"/>
    <w:rsid w:val="526E3306"/>
    <w:rsid w:val="52B01A44"/>
    <w:rsid w:val="56AB5265"/>
    <w:rsid w:val="56B022B3"/>
    <w:rsid w:val="5716407F"/>
    <w:rsid w:val="5C434342"/>
    <w:rsid w:val="5DCF5028"/>
    <w:rsid w:val="5DF441CF"/>
    <w:rsid w:val="62EE2739"/>
    <w:rsid w:val="67E623DD"/>
    <w:rsid w:val="6A9748E1"/>
    <w:rsid w:val="6C552C1C"/>
    <w:rsid w:val="6C895E6C"/>
    <w:rsid w:val="6D111782"/>
    <w:rsid w:val="6D942C8C"/>
    <w:rsid w:val="6E7031E4"/>
    <w:rsid w:val="72D40367"/>
    <w:rsid w:val="751D15FD"/>
    <w:rsid w:val="759B1B2A"/>
    <w:rsid w:val="778F08C4"/>
    <w:rsid w:val="783041B1"/>
    <w:rsid w:val="78370963"/>
    <w:rsid w:val="784B5A08"/>
    <w:rsid w:val="7A55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仿宋_GB2312" w:hAnsi="仿宋_GB2312" w:eastAsia="仿宋_GB2312" w:cs="仿宋_GB2312"/>
      <w:kern w:val="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9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="宋体" w:cstheme="minorBidi"/>
      <w:kern w:val="2"/>
      <w:sz w:val="21"/>
      <w:szCs w:val="22"/>
    </w:rPr>
  </w:style>
  <w:style w:type="paragraph" w:styleId="4">
    <w:name w:val="Body Text"/>
    <w:basedOn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8">
    <w:name w:val="Title"/>
    <w:basedOn w:val="1"/>
    <w:next w:val="1"/>
    <w:link w:val="14"/>
    <w:qFormat/>
    <w:uiPriority w:val="10"/>
    <w:pPr>
      <w:widowControl w:val="0"/>
      <w:spacing w:before="240" w:after="60"/>
      <w:jc w:val="center"/>
      <w:outlineLvl w:val="0"/>
    </w:pPr>
    <w:rPr>
      <w:rFonts w:ascii="Cambria" w:hAnsi="Cambria" w:eastAsiaTheme="minorEastAsia" w:cstheme="minorBidi"/>
      <w:b/>
      <w:bCs/>
      <w:kern w:val="2"/>
      <w:sz w:val="32"/>
      <w:szCs w:val="32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标题 1 字符"/>
    <w:basedOn w:val="11"/>
    <w:link w:val="3"/>
    <w:qFormat/>
    <w:uiPriority w:val="9"/>
    <w:rPr>
      <w:b/>
      <w:bCs/>
      <w:kern w:val="44"/>
      <w:sz w:val="44"/>
      <w:szCs w:val="44"/>
    </w:rPr>
  </w:style>
  <w:style w:type="character" w:customStyle="1" w:styleId="14">
    <w:name w:val="标题 字符"/>
    <w:basedOn w:val="11"/>
    <w:link w:val="8"/>
    <w:qFormat/>
    <w:uiPriority w:val="10"/>
    <w:rPr>
      <w:rFonts w:ascii="Cambria" w:hAnsi="Cambria"/>
      <w:b/>
      <w:bCs/>
      <w:sz w:val="32"/>
      <w:szCs w:val="32"/>
    </w:rPr>
  </w:style>
  <w:style w:type="paragraph" w:customStyle="1" w:styleId="15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页眉 字符"/>
    <w:basedOn w:val="11"/>
    <w:link w:val="6"/>
    <w:qFormat/>
    <w:uiPriority w:val="99"/>
    <w:rPr>
      <w:rFonts w:ascii="仿宋_GB2312" w:hAnsi="仿宋_GB2312" w:eastAsia="仿宋_GB2312" w:cs="仿宋_GB2312"/>
      <w:kern w:val="0"/>
      <w:sz w:val="18"/>
      <w:szCs w:val="18"/>
    </w:rPr>
  </w:style>
  <w:style w:type="character" w:customStyle="1" w:styleId="18">
    <w:name w:val="页脚 字符"/>
    <w:basedOn w:val="11"/>
    <w:link w:val="5"/>
    <w:qFormat/>
    <w:uiPriority w:val="99"/>
    <w:rPr>
      <w:rFonts w:ascii="仿宋_GB2312" w:hAnsi="仿宋_GB2312" w:eastAsia="仿宋_GB2312" w:cs="仿宋_GB2312"/>
      <w:kern w:val="0"/>
      <w:sz w:val="18"/>
      <w:szCs w:val="18"/>
    </w:rPr>
  </w:style>
  <w:style w:type="paragraph" w:customStyle="1" w:styleId="19">
    <w:name w:val="Table Paragraph"/>
    <w:basedOn w:val="1"/>
    <w:qFormat/>
    <w:uiPriority w:val="1"/>
    <w:pPr>
      <w:jc w:val="left"/>
    </w:pPr>
    <w:rPr>
      <w:rFonts w:ascii="宋体" w:hAnsi="宋体" w:cs="宋体"/>
      <w:kern w:val="0"/>
      <w:sz w:val="22"/>
      <w:lang w:eastAsia="en-US"/>
    </w:rPr>
  </w:style>
  <w:style w:type="table" w:customStyle="1" w:styleId="20">
    <w:name w:val="网格型1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2396</Words>
  <Characters>2434</Characters>
  <Lines>6</Lines>
  <Paragraphs>1</Paragraphs>
  <TotalTime>3</TotalTime>
  <ScaleCrop>false</ScaleCrop>
  <LinksUpToDate>false</LinksUpToDate>
  <CharactersWithSpaces>2442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2021-03-11T10:03:00Z</dcterms:created>
  <dc:creator>srt</dc:creator>
  <cp:lastModifiedBy>sueri</cp:lastModifiedBy>
  <cp:lastPrinted>2022-03-20T09:20:00Z</cp:lastPrinted>
  <dcterms:modified xsi:type="dcterms:W3CDTF">2022-07-04T08:28:07Z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F4A164DEC618498387232B4C2D905699</vt:lpwstr>
  </property>
</Properties>
</file>