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海南省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中小学</w:t>
      </w:r>
      <w:r>
        <w:rPr>
          <w:rFonts w:hint="eastAsia" w:ascii="宋体" w:hAnsi="宋体" w:eastAsia="宋体" w:cs="宋体"/>
          <w:sz w:val="44"/>
          <w:szCs w:val="44"/>
        </w:rPr>
        <w:t>教坛新秀评选和管理办法</w:t>
      </w:r>
    </w:p>
    <w:p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（修订稿）</w:t>
      </w:r>
    </w:p>
    <w:p>
      <w:pPr>
        <w:rPr>
          <w:rFonts w:hint="eastAsia" w:ascii="仿宋" w:hAnsi="仿宋" w:eastAsia="仿宋" w:cs="仿宋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第一章 总则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 为切实加强我省中小学教师队伍建设，造就师德高尚、教育教学能力突出的青年教师队伍，根据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《海南省基础教育教师队伍建设“十四五”规划》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《海南省关于加强新时代乡村教师队伍建设的实施方案》</w:t>
      </w:r>
      <w:r>
        <w:rPr>
          <w:rFonts w:hint="eastAsia" w:ascii="仿宋" w:hAnsi="仿宋" w:eastAsia="仿宋" w:cs="仿宋"/>
          <w:sz w:val="32"/>
          <w:szCs w:val="32"/>
        </w:rPr>
        <w:t>等文件精神，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研究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修订</w:t>
      </w:r>
      <w:r>
        <w:rPr>
          <w:rFonts w:hint="eastAsia" w:ascii="仿宋" w:hAnsi="仿宋" w:eastAsia="仿宋" w:cs="仿宋"/>
          <w:sz w:val="32"/>
          <w:szCs w:val="32"/>
        </w:rPr>
        <w:t>本办法。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第二条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海南</w:t>
      </w:r>
      <w:r>
        <w:rPr>
          <w:rFonts w:hint="eastAsia" w:ascii="仿宋" w:hAnsi="仿宋" w:eastAsia="仿宋" w:cs="仿宋"/>
          <w:sz w:val="32"/>
          <w:szCs w:val="32"/>
        </w:rPr>
        <w:t>省教育学会定期组织开展省级教坛新秀评选活动。省教育学会评选的海南省教坛新秀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教学能手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sz w:val="32"/>
          <w:szCs w:val="32"/>
        </w:rPr>
        <w:t>省级骨干教师、学科带头人、特级教师相衔接，形成教师专业发展的梯队结构。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第二章 评选范围与对象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海南省教坛新秀评选的范围和对象为我省中小学校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教龄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年（含）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在职在岗教师。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凡有下列情况之一者，不得申报或推荐：</w:t>
      </w:r>
    </w:p>
    <w:p>
      <w:pPr>
        <w:numPr>
          <w:ilvl w:val="0"/>
          <w:numId w:val="2"/>
        </w:numPr>
        <w:spacing w:line="56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体罚或变相体罚学生受到处分；</w:t>
      </w:r>
      <w:r>
        <w:rPr>
          <w:rFonts w:hint="eastAsia" w:ascii="仿宋" w:hAnsi="仿宋" w:eastAsia="仿宋" w:cs="仿宋"/>
          <w:sz w:val="32"/>
          <w:szCs w:val="32"/>
        </w:rPr>
        <w:tab/>
      </w:r>
    </w:p>
    <w:p>
      <w:pPr>
        <w:numPr>
          <w:ilvl w:val="0"/>
          <w:numId w:val="2"/>
        </w:numPr>
        <w:spacing w:line="56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搞有偿家教被举报并受到处分；</w:t>
      </w:r>
    </w:p>
    <w:p>
      <w:pPr>
        <w:numPr>
          <w:ilvl w:val="0"/>
          <w:numId w:val="2"/>
        </w:numPr>
        <w:spacing w:line="56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有其他违纪违法行为并受到处分。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第三章 评选基本条件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  推荐参加海南省教坛新秀评选的教师需具备以下基本条件：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1.忠诚党的教育事业，全面贯彻党的教育方针，模范履行教师职责，具有良好的师德修养，教书育人，为人师表。具有高度的事业心、责任感和较强的开拓进取、改革创新和团队合作精神，身心健康，在教师、家长、学生中受到好评。</w:t>
      </w:r>
    </w:p>
    <w:p>
      <w:pPr>
        <w:spacing w:line="560" w:lineRule="exac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 xml:space="preserve"> 2.教学水平、教学质量在本校同学科青年教师中位居前列，具有一定的教科研能力，承担校级及以上公开课任务并获得好评，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市县级以上课堂教学类评比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中获奖</w:t>
      </w:r>
      <w:r>
        <w:rPr>
          <w:rFonts w:hint="eastAsia" w:ascii="仿宋" w:hAnsi="仿宋" w:eastAsia="仿宋" w:cs="仿宋"/>
          <w:sz w:val="32"/>
          <w:szCs w:val="32"/>
        </w:rPr>
        <w:t>参与校级及以上教科研课题研究并取得一定成果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或有2篇论文（含教育教学经验文章）公开发表或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市县级以上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评奖活动中获得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二等奖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以上奖次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3.有2年（含）以上班主任或学校其他管理工作经历，在学生思想政治教育或班主任工作方面得到师生认可。</w:t>
      </w:r>
    </w:p>
    <w:p>
      <w:pPr>
        <w:spacing w:line="560" w:lineRule="exact"/>
        <w:ind w:firstLine="627" w:firstLineChars="196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第四章  评选程序和办法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  省级教坛新秀评选活动由省教育学会和省教育研究培训院共同负责，每4年一届。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 活动坚持“公开平等、竞争择优”原则，采取自下而上、逐级评选推荐的办法进行。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  各层级评选均需参照业绩表现和课堂教学权重进行，其中业绩表现权重为0.3（评价标准见附件）；课堂教学权重为0.7；课堂教学包括两个环节，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一是教师基本功，权重为0.2</w:t>
      </w:r>
      <w:r>
        <w:rPr>
          <w:rFonts w:hint="eastAsia" w:ascii="仿宋" w:hAnsi="仿宋" w:eastAsia="仿宋" w:cs="仿宋"/>
          <w:sz w:val="32"/>
          <w:szCs w:val="32"/>
        </w:rPr>
        <w:t>（各学科依据学科特点自定评价方式和评价标准），二是课堂教学，权重为0.5。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第九条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省级教坛新秀评选名额由省教育学会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确定；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市县级教坛新秀评选推荐名额由市县研训机构负责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成立有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教育学会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的市县，学会配合协同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按照省教育学会设定的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分配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名额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下达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和上报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 各层级评选的程序和办法：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1.校级评选。</w:t>
      </w:r>
      <w:bookmarkStart w:id="0" w:name="_Hlk3680114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学校依照本办法组织校级评选，结合评选结果，</w:t>
      </w:r>
      <w:r>
        <w:rPr>
          <w:rFonts w:hint="eastAsia" w:ascii="仿宋" w:hAnsi="仿宋" w:eastAsia="仿宋" w:cs="仿宋"/>
          <w:sz w:val="32"/>
          <w:szCs w:val="32"/>
        </w:rPr>
        <w:t>按照市县教育学会的通知要求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，采取个人申报，科组评选、学校审核，校内公示（不少于5个工作日）的程序进行。完成上述程序且公示无异议后，上报市县教育学会。学校推荐的选手可作为校级教坛新秀予以认定。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市县级评选。按照省教育学会的评选活动通知要求，结合本市县实际下达校级推荐名额。评选工作按照业绩评审、课堂教学、拟定人选、域内公示（不少于5个工作日）的程序进行。完成上述程序且公示无异议后，上报省教育学会。市县推荐的选手可作为市县级教坛新秀予以认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属</w:t>
      </w:r>
      <w:r>
        <w:rPr>
          <w:rFonts w:hint="eastAsia" w:ascii="仿宋" w:hAnsi="仿宋" w:eastAsia="仿宋" w:cs="仿宋"/>
          <w:sz w:val="32"/>
          <w:szCs w:val="32"/>
        </w:rPr>
        <w:t>学校和高校附中按照规定程序评选。完成基本程序且公示无异议后，直接报省教育学会。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省级评选。按照业绩评审、课堂教学、拟定人选、省内公示（不少于5个工作日）的程序进行。完成上述程序且公示无异议后，下发获奖通报，举办表彰活动。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C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确定省级教坛新秀时，适度向乡村（不含县镇）学校获奖教师倾斜。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省教育学会单位会员学校，完成校级评选，可择优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</w:t>
      </w:r>
      <w:r>
        <w:rPr>
          <w:rFonts w:hint="eastAsia" w:ascii="仿宋" w:hAnsi="仿宋" w:eastAsia="仿宋" w:cs="仿宋"/>
          <w:sz w:val="32"/>
          <w:szCs w:val="32"/>
        </w:rPr>
        <w:t>报1人呈省教育学会，经审定后参与省级评选。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第五章  权利、义务与管理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  省级教坛新秀由省教育学会授予称号，颁发荣誉证书。称号自获得之日起，4年内有效。省级教坛新秀称号可作为教师专业技术职务评聘、工资晋级、绩效工资发放、骨干教师、学科带头人评选等方面的重要依据。省级教坛新秀可以享受学会提供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培训</w:t>
      </w:r>
      <w:r>
        <w:rPr>
          <w:rFonts w:hint="eastAsia" w:ascii="仿宋" w:hAnsi="仿宋" w:eastAsia="仿宋" w:cs="仿宋"/>
          <w:sz w:val="32"/>
          <w:szCs w:val="32"/>
        </w:rPr>
        <w:t>与学习考察等待遇。</w:t>
      </w:r>
    </w:p>
    <w:p>
      <w:pPr>
        <w:spacing w:line="560" w:lineRule="exact"/>
        <w:ind w:firstLine="630" w:firstLineChars="197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第十三条  省级教坛新秀所在市县和学校要加强管理和指导，鼓励他们积极进取，尽可能地安排其参加市县级及以上教育教学培训，在学校和区域范围内发挥带头作用。要鼓励并尽可能安排其参加各类送教、支教活动，在学校和市县教研活动中上示范课或研究课，每学年不少于2节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参与</w:t>
      </w:r>
      <w:r>
        <w:rPr>
          <w:rFonts w:hint="eastAsia" w:ascii="仿宋" w:hAnsi="仿宋" w:eastAsia="仿宋" w:cs="仿宋"/>
          <w:sz w:val="32"/>
          <w:szCs w:val="32"/>
        </w:rPr>
        <w:t>校级及以上课题研究任务1项以上，每学年至少撰写1篇有一定水平的专业论文、经验总结或研究报告，在市县级以上教育刊物或专业会议上发表，或获得市县级（单位）以上奖励。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 教坛新秀离开教育教学岗位，其荣誉称号自动取消；获得荣誉称号满4年后，不再列入教坛新秀管理序列。</w:t>
      </w:r>
    </w:p>
    <w:p>
      <w:pPr>
        <w:spacing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第六章  附则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  建议各市县建立本级教坛新秀评选和管理机制，在教学能手、骨干教师、学科带头人评选和继续教育培训中将他们作为重点培养对象。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  本办法解释权在海南省教育学会。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第十七条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本办法于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2023年3月1日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起施行。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附：海南省教坛新秀业绩表现评价标准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海南省教育学会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2023年2月24日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附件    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海南省教坛新秀业绩表现评价标准</w:t>
      </w: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8080" w:type="dxa"/>
        <w:tblInd w:w="2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2551"/>
        <w:gridCol w:w="2129"/>
        <w:gridCol w:w="18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类别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项目内容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赋分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59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育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力</w:t>
            </w:r>
          </w:p>
          <w:p>
            <w:pPr>
              <w:spacing w:line="360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（50分）</w:t>
            </w:r>
          </w:p>
        </w:tc>
        <w:tc>
          <w:tcPr>
            <w:tcW w:w="2552" w:type="dxa"/>
            <w:vMerge w:val="restart"/>
          </w:tcPr>
          <w:p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担任班主任、辅导员和学校其他管理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</w:t>
            </w: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年限</w:t>
            </w:r>
          </w:p>
        </w:tc>
        <w:tc>
          <w:tcPr>
            <w:tcW w:w="1843" w:type="dxa"/>
          </w:tcPr>
          <w:p>
            <w:pPr>
              <w:spacing w:line="38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59" w:type="dxa"/>
            <w:vMerge w:val="continue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工作业绩</w:t>
            </w:r>
          </w:p>
        </w:tc>
        <w:tc>
          <w:tcPr>
            <w:tcW w:w="1843" w:type="dxa"/>
          </w:tcPr>
          <w:p>
            <w:pPr>
              <w:spacing w:line="38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55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教学比赛</w:t>
            </w:r>
          </w:p>
        </w:tc>
        <w:tc>
          <w:tcPr>
            <w:tcW w:w="1843" w:type="dxa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59" w:type="dxa"/>
            <w:vMerge w:val="continue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教学观摩</w:t>
            </w:r>
          </w:p>
        </w:tc>
        <w:tc>
          <w:tcPr>
            <w:tcW w:w="1843" w:type="dxa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55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力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（30分）</w:t>
            </w:r>
          </w:p>
        </w:tc>
        <w:tc>
          <w:tcPr>
            <w:tcW w:w="467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教育教学论文</w:t>
            </w:r>
          </w:p>
        </w:tc>
        <w:tc>
          <w:tcPr>
            <w:tcW w:w="1843" w:type="dxa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5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课题研究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55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校本课程</w:t>
            </w:r>
          </w:p>
        </w:tc>
        <w:tc>
          <w:tcPr>
            <w:tcW w:w="1843" w:type="dxa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55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荣誉奖励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（20分）</w:t>
            </w:r>
          </w:p>
        </w:tc>
        <w:tc>
          <w:tcPr>
            <w:tcW w:w="468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360" w:lineRule="auto"/>
              <w:ind w:firstLine="600" w:firstLineChars="2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60" w:lineRule="auto"/>
              <w:ind w:firstLine="600" w:firstLineChars="2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555" w:type="dxa"/>
            <w:tcBorders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  分</w:t>
            </w:r>
          </w:p>
        </w:tc>
        <w:tc>
          <w:tcPr>
            <w:tcW w:w="468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GoBack"/>
      <w:bookmarkEnd w:id="1"/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3408C1"/>
    <w:multiLevelType w:val="singleLevel"/>
    <w:tmpl w:val="953408C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57A61FD"/>
    <w:multiLevelType w:val="singleLevel"/>
    <w:tmpl w:val="E57A61F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71309AB"/>
    <w:multiLevelType w:val="singleLevel"/>
    <w:tmpl w:val="471309AB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abstractNum w:abstractNumId="3">
    <w:nsid w:val="4C730F8E"/>
    <w:multiLevelType w:val="singleLevel"/>
    <w:tmpl w:val="4C730F8E"/>
    <w:lvl w:ilvl="0" w:tentative="0">
      <w:start w:val="1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wMDNkZThkMGVkOTA2YmM5OTMyNjEzMzE3N2ZkMjMifQ=="/>
  </w:docVars>
  <w:rsids>
    <w:rsidRoot w:val="669E20A0"/>
    <w:rsid w:val="01E711EA"/>
    <w:rsid w:val="0DC60896"/>
    <w:rsid w:val="1952105D"/>
    <w:rsid w:val="1BCB6D5E"/>
    <w:rsid w:val="1C423CDD"/>
    <w:rsid w:val="1CDC13D4"/>
    <w:rsid w:val="229537ED"/>
    <w:rsid w:val="29910CF5"/>
    <w:rsid w:val="3E8A158A"/>
    <w:rsid w:val="4088004E"/>
    <w:rsid w:val="46DA7D28"/>
    <w:rsid w:val="4EDE7CCF"/>
    <w:rsid w:val="51502C0C"/>
    <w:rsid w:val="5D521793"/>
    <w:rsid w:val="669E20A0"/>
    <w:rsid w:val="7F2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2022</Words>
  <Characters>2054</Characters>
  <Lines>0</Lines>
  <Paragraphs>0</Paragraphs>
  <TotalTime>3</TotalTime>
  <ScaleCrop>false</ScaleCrop>
  <LinksUpToDate>false</LinksUpToDate>
  <CharactersWithSpaces>2110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2023-02-15T08:49:00Z</dcterms:created>
  <dc:creator>宗语</dc:creator>
  <cp:lastModifiedBy>宗语</cp:lastModifiedBy>
  <cp:lastPrinted>2023-02-23T05:02:00Z</cp:lastPrinted>
  <dcterms:modified xsi:type="dcterms:W3CDTF">2023-02-28T06:52:03Z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4E6AD87633BD417394096650F33716B2</vt:lpwstr>
  </property>
</Properties>
</file>